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right"/>
        <w:rPr>
          <w:rFonts w:ascii="Times New Roman" w:hAnsi="Times New Roman"/>
          <w:sz w:val="28"/>
        </w:rPr>
      </w:pPr>
    </w:p>
    <w:p w14:paraId="04000000">
      <w:pPr>
        <w:widowControl w:val="0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6"/>
        <w:gridCol w:w="2551"/>
        <w:gridCol w:w="718"/>
        <w:gridCol w:w="2455"/>
        <w:gridCol w:w="1272"/>
        <w:gridCol w:w="2443"/>
      </w:tblGrid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Ходатайство об установлении публичного сервитута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Лебяженского городского поселения Ломоносовского муниципального района Ленинградской области 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(далее - заявитель):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наименование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Сокращенное наименование (при наличии)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Организационно-правовая форма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представителе заявителя: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(при наличии)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type="dxa" w:w="3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type="dxa" w:w="6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"consultantplus://offline/ref=6A5A74546B8F34E715340622DCFE5EB31CF9343E7F4ACAD8B995E71B83A0EBFEA79CE51DF39DB9CC24B0BE111F683B7DC68E662BD6C8L0sCO"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статьей 39.37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Земельного кодекса Российской Федерации или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"consultantplus://offline/ref=6A5A74546B8F34E715340622DCFE5EB31CF9343E704FCAD8B995E71B83A0EBFEA79CE51DF098B69321A5AF49136F2363C7917A29D7LCs0O"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статьей 3.6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Федерального закона от 25 октября 2001 г. N 137-ФЗ «О введении в действие Земельного кодекса Российской Федерации»):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Испрашиваемый срок публичного сервитута _____________________________________________________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"consultantplus://offline/ref=6A5A74546B8F34E715340622DCFE5EB31CF9343E7F4ACAD8B995E71B83A0EBFEA79CE51DF398B4CC24B0BE111F683B7DC68E662BD6C8L0sCO"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подпунктом 4 пункта 1 статьи 39.41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Обоснование необходимости установления публичного сервитута 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r>
              <w:rPr>
                <w:rFonts w:ascii="Times New Roman" w:hAnsi="Times New Roman"/>
                <w:color w:val="0000FF"/>
                <w:sz w:val="20"/>
              </w:rPr>
              <w:t>пунктом 2</w:t>
            </w:r>
            <w:r>
              <w:rPr>
                <w:rFonts w:ascii="Times New Roman" w:hAnsi="Times New Roman"/>
                <w:sz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14:paraId="3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____________________________________________________________________________________________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72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72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7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72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7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способах представления результатов рассмотрения ходатайства:</w:t>
            </w:r>
          </w:p>
        </w:tc>
      </w:tr>
      <w:tr>
        <w:trPr>
          <w:trHeight w:hRule="atLeast" w:val="858"/>
        </w:trP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4"/>
              <w:gridCol w:w="9247"/>
            </w:tblGrid>
            <w:tr>
              <w:tc>
                <w:tcPr>
                  <w:tcW w:type="dxa" w:w="53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00000">
                  <w:pPr>
                    <w:widowControl w:val="0"/>
                    <w:ind/>
                    <w:rPr>
                      <w:rFonts w:ascii="Times New Roman" w:hAnsi="Times New Roman"/>
                      <w:sz w:val="20"/>
                    </w:rPr>
                  </w:pPr>
                </w:p>
                <w:p w14:paraId="4C000000">
                  <w:pPr>
                    <w:widowControl w:val="0"/>
                    <w:ind/>
                    <w:rPr>
                      <w:rFonts w:ascii="Times New Roman" w:hAnsi="Times New Roman"/>
                      <w:sz w:val="20"/>
                    </w:rPr>
                  </w:pPr>
                </w:p>
                <w:p w14:paraId="4D000000">
                  <w:pPr>
                    <w:widowControl w:val="0"/>
                    <w:ind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9247"/>
                  <w:tcBorders>
                    <w:top w:sz="4" w:val="nil"/>
                    <w:left w:color="000000" w:sz="4" w:val="single"/>
                    <w:bottom w:sz="4" w:val="nil"/>
                    <w:right w:sz="4" w:val="nil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4E000000">
                  <w:pPr>
                    <w:widowControl w:val="0"/>
                    <w:ind/>
                    <w:rPr>
                      <w:rFonts w:ascii="Times New Roman" w:hAnsi="Times New Roman"/>
                      <w:strike w:val="1"/>
                      <w:sz w:val="20"/>
                    </w:rPr>
                  </w:pPr>
                </w:p>
              </w:tc>
            </w:tr>
            <w:tr>
              <w:tc>
                <w:tcPr>
                  <w:tcW w:type="dxa" w:w="53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9247"/>
                  <w:tcBorders>
                    <w:top w:sz="4" w:val="nil"/>
                    <w:left w:color="000000" w:sz="4" w:val="single"/>
                    <w:bottom w:sz="4" w:val="nil"/>
                    <w:right w:sz="4" w:val="nil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4F000000">
                  <w:pPr>
                    <w:widowControl w:val="0"/>
                    <w:ind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выдать на руки в МФЦ, расположенном по адресу:</w:t>
                  </w:r>
                </w:p>
              </w:tc>
            </w:tr>
            <w:tr>
              <w:tc>
                <w:tcPr>
                  <w:tcW w:type="dxa" w:w="53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0000000">
                  <w:pPr>
                    <w:widowControl w:val="0"/>
                    <w:ind/>
                    <w:rPr>
                      <w:rFonts w:ascii="Times New Roman" w:hAnsi="Times New Roman"/>
                      <w:strike w:val="1"/>
                      <w:sz w:val="20"/>
                    </w:rPr>
                  </w:pPr>
                </w:p>
                <w:p w14:paraId="51000000">
                  <w:pPr>
                    <w:widowControl w:val="0"/>
                    <w:ind/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  <w:p w14:paraId="52000000">
                  <w:pPr>
                    <w:widowControl w:val="0"/>
                    <w:ind/>
                    <w:rPr>
                      <w:rFonts w:ascii="Times New Roman" w:hAnsi="Times New Roman"/>
                      <w:strike w:val="1"/>
                      <w:sz w:val="20"/>
                    </w:rPr>
                  </w:pPr>
                </w:p>
              </w:tc>
              <w:tc>
                <w:tcPr>
                  <w:tcW w:type="dxa" w:w="9247"/>
                  <w:tcBorders>
                    <w:top w:sz="4" w:val="nil"/>
                    <w:left w:color="000000" w:sz="4" w:val="single"/>
                    <w:bottom w:sz="4" w:val="nil"/>
                    <w:right w:sz="4" w:val="nil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53000000">
                  <w:pPr>
                    <w:widowControl w:val="0"/>
                    <w:ind/>
                    <w:rPr>
                      <w:rFonts w:ascii="Times New Roman" w:hAnsi="Times New Roman"/>
                      <w:strike w:val="1"/>
                      <w:sz w:val="20"/>
                    </w:rPr>
                  </w:pPr>
                </w:p>
              </w:tc>
            </w:tr>
            <w:tr>
              <w:tc>
                <w:tcPr>
                  <w:tcW w:type="dxa" w:w="53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9247"/>
                  <w:tcBorders>
                    <w:top w:sz="4" w:val="nil"/>
                    <w:left w:color="000000" w:sz="4" w:val="single"/>
                    <w:bottom w:sz="4" w:val="nil"/>
                    <w:right w:sz="4" w:val="nil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54000000">
                  <w:pPr>
                    <w:widowControl w:val="0"/>
                    <w:ind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направить в электронной форме в личный кабинет на ЕПГУ</w:t>
                  </w:r>
                </w:p>
              </w:tc>
            </w:tr>
          </w:tbl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прилагаемые к ходатайству: _________________________________________________________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43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"consultantplus://offline/ref=6A5A74546B8F34E715340622DCFE5EB31CF9343E7F4ACAD8B995E71B83A0EBFEA79CE51DF398B9CC24B0BE111F683B7DC68E662BD6C8L0sCO"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статьей 39.41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Земельного кодекса Российской Федерации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Подпись:</w:t>
            </w:r>
          </w:p>
        </w:tc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Дата: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</w:t>
            </w:r>
          </w:p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4445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 ____ г.</w:t>
            </w:r>
          </w:p>
        </w:tc>
      </w:tr>
    </w:tbl>
    <w:p w14:paraId="65000000">
      <w:pPr>
        <w:widowControl w:val="0"/>
        <w:ind/>
        <w:jc w:val="both"/>
        <w:rPr>
          <w:rFonts w:ascii="Calibri" w:hAnsi="Calibri"/>
        </w:rPr>
      </w:pPr>
    </w:p>
    <w:p w14:paraId="66000000">
      <w:pPr>
        <w:widowControl w:val="0"/>
        <w:ind w:firstLine="540" w:left="0"/>
        <w:jc w:val="both"/>
      </w:pPr>
    </w:p>
    <w:p w14:paraId="67000000">
      <w:pPr>
        <w:widowControl w:val="0"/>
        <w:ind w:firstLine="540" w:left="0"/>
        <w:jc w:val="both"/>
      </w:pPr>
    </w:p>
    <w:p w14:paraId="68000000">
      <w:pPr>
        <w:widowControl w:val="0"/>
        <w:ind w:firstLine="540" w:left="0"/>
        <w:jc w:val="both"/>
      </w:pPr>
    </w:p>
    <w:p w14:paraId="69000000">
      <w:pPr>
        <w:widowControl w:val="0"/>
        <w:ind w:firstLine="540" w:left="0"/>
        <w:jc w:val="both"/>
      </w:pPr>
    </w:p>
    <w:p w14:paraId="6A000000">
      <w:pPr>
        <w:widowControl w:val="0"/>
        <w:ind w:firstLine="540" w:left="0"/>
        <w:jc w:val="both"/>
      </w:pPr>
    </w:p>
    <w:p w14:paraId="6B000000">
      <w:pPr>
        <w:widowControl w:val="0"/>
        <w:ind w:firstLine="540" w:left="0"/>
        <w:jc w:val="both"/>
      </w:pPr>
    </w:p>
    <w:p w14:paraId="6C000000">
      <w:pPr>
        <w:widowControl w:val="0"/>
        <w:ind w:firstLine="540" w:left="0"/>
        <w:jc w:val="both"/>
      </w:pPr>
    </w:p>
    <w:p w14:paraId="6D000000">
      <w:pPr>
        <w:widowControl w:val="0"/>
        <w:ind w:firstLine="540" w:left="0"/>
        <w:jc w:val="both"/>
      </w:pPr>
    </w:p>
    <w:sectPr>
      <w:headerReference r:id="rId1" w:type="default"/>
      <w:pgSz w:h="15840" w:orient="portrait" w:w="12240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3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0"/>
    </w:rPr>
  </w:style>
  <w:style w:styleId="Style_18_ch" w:type="character">
    <w:name w:val="Header and Footer"/>
    <w:link w:val="Style_18"/>
    <w:rPr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styleId="Style_27" w:type="paragraph">
    <w:name w:val="List Paragraph"/>
    <w:basedOn w:val="Style_3"/>
    <w:link w:val="Style_27_ch"/>
    <w:pPr>
      <w:ind w:firstLine="0" w:left="720"/>
      <w:contextualSpacing w:val="1"/>
    </w:pPr>
  </w:style>
  <w:style w:styleId="Style_27_ch" w:type="character">
    <w:name w:val="List Paragraph"/>
    <w:basedOn w:val="Style_3_ch"/>
    <w:link w:val="Style_2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2024-06-05T15:46:59Z</dcterms:modified>
</cp:coreProperties>
</file>