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Default="00BF1858" w:rsidP="00385604">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100236">
        <w:rPr>
          <w:b/>
          <w:bCs/>
          <w:sz w:val="28"/>
          <w:szCs w:val="28"/>
        </w:rPr>
        <w:t xml:space="preserve">Согласование создания места (площадки)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w:t>
      </w:r>
      <w:r w:rsidR="00B40CE3">
        <w:rPr>
          <w:rFonts w:ascii="Times New Roman" w:hAnsi="Times New Roman"/>
          <w:sz w:val="28"/>
          <w:szCs w:val="28"/>
        </w:rPr>
        <w:t>зования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t>
      </w:r>
      <w:proofErr w:type="spellStart"/>
      <w:r w:rsidRPr="003E71C3">
        <w:rPr>
          <w:rFonts w:ascii="Times New Roman" w:hAnsi="Times New Roman"/>
          <w:sz w:val="28"/>
          <w:szCs w:val="28"/>
        </w:rPr>
        <w:t>www.gu.lenobl.ru</w:t>
      </w:r>
      <w:proofErr w:type="spellEnd"/>
      <w:r w:rsidRPr="003E71C3">
        <w:rPr>
          <w:rFonts w:ascii="Times New Roman" w:hAnsi="Times New Roman"/>
          <w:sz w:val="28"/>
          <w:szCs w:val="28"/>
        </w:rPr>
        <w:t xml:space="preserve">/ </w:t>
      </w:r>
      <w:hyperlink r:id="rId8" w:history="1">
        <w:r w:rsidRPr="003E71C3">
          <w:rPr>
            <w:rStyle w:val="af8"/>
            <w:rFonts w:ascii="Times New Roman" w:hAnsi="Times New Roman"/>
            <w:color w:val="auto"/>
            <w:sz w:val="28"/>
            <w:szCs w:val="28"/>
          </w:rPr>
          <w:t>www.gosuslugi.ru</w:t>
        </w:r>
      </w:hyperlink>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9" w:history="1">
        <w:r w:rsidRPr="00A04F40">
          <w:rPr>
            <w:sz w:val="28"/>
            <w:szCs w:val="28"/>
          </w:rPr>
          <w:t xml:space="preserve">частью </w:t>
        </w:r>
        <w:proofErr w:type="gramEnd"/>
        <w:r w:rsidRPr="00A04F40">
          <w:rPr>
            <w:sz w:val="28"/>
            <w:szCs w:val="28"/>
          </w:rPr>
          <w:t>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40CE3" w:rsidRDefault="005D5A48" w:rsidP="00B40CE3">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A04F40">
        <w:rPr>
          <w:sz w:val="28"/>
          <w:szCs w:val="28"/>
        </w:rPr>
        <w:lastRenderedPageBreak/>
        <w:t>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w:t>
      </w:r>
      <w:proofErr w:type="gramStart"/>
      <w:r w:rsidR="009813F4" w:rsidRPr="002255A5">
        <w:rPr>
          <w:sz w:val="28"/>
          <w:szCs w:val="28"/>
        </w:rPr>
        <w:t>с даты поступления</w:t>
      </w:r>
      <w:proofErr w:type="gramEnd"/>
      <w:r w:rsidR="009813F4" w:rsidRPr="002255A5">
        <w:rPr>
          <w:sz w:val="28"/>
          <w:szCs w:val="28"/>
        </w:rPr>
        <w:t xml:space="preserve"> (регистрации) заявления в администрацию.</w:t>
      </w:r>
    </w:p>
    <w:p w:rsidR="00FB6D17" w:rsidRPr="002255A5" w:rsidRDefault="00736C14" w:rsidP="009813F4">
      <w:pPr>
        <w:autoSpaceDE w:val="0"/>
        <w:autoSpaceDN w:val="0"/>
        <w:adjustRightInd w:val="0"/>
        <w:ind w:firstLine="709"/>
        <w:jc w:val="both"/>
        <w:rPr>
          <w:rFonts w:eastAsiaTheme="minorHAnsi"/>
          <w:sz w:val="28"/>
          <w:szCs w:val="28"/>
          <w:lang w:eastAsia="en-US"/>
        </w:rPr>
      </w:pPr>
      <w:r w:rsidRPr="002255A5">
        <w:rPr>
          <w:sz w:val="28"/>
          <w:szCs w:val="28"/>
        </w:rPr>
        <w:t xml:space="preserve"> </w:t>
      </w:r>
      <w:r w:rsidR="009813F4" w:rsidRPr="002255A5">
        <w:rPr>
          <w:sz w:val="28"/>
          <w:szCs w:val="28"/>
        </w:rPr>
        <w:t>Администрация</w:t>
      </w:r>
      <w:r w:rsidR="009813F4" w:rsidRPr="002255A5">
        <w:rPr>
          <w:rFonts w:eastAsiaTheme="minorHAnsi"/>
          <w:sz w:val="28"/>
          <w:szCs w:val="28"/>
          <w:lang w:eastAsia="en-US"/>
        </w:rPr>
        <w:t xml:space="preserve"> </w:t>
      </w:r>
      <w:r w:rsidR="00FB6D17" w:rsidRPr="002255A5">
        <w:rPr>
          <w:rFonts w:eastAsiaTheme="minorHAnsi"/>
          <w:sz w:val="28"/>
          <w:szCs w:val="28"/>
          <w:lang w:eastAsia="en-US"/>
        </w:rPr>
        <w:t xml:space="preserve">рассматривает </w:t>
      </w:r>
      <w:r w:rsidR="009813F4" w:rsidRPr="002255A5">
        <w:rPr>
          <w:rFonts w:eastAsiaTheme="minorHAnsi"/>
          <w:sz w:val="28"/>
          <w:szCs w:val="28"/>
          <w:lang w:eastAsia="en-US"/>
        </w:rPr>
        <w:t xml:space="preserve">заявление </w:t>
      </w:r>
      <w:r w:rsidR="00FB6D17" w:rsidRPr="002255A5">
        <w:rPr>
          <w:rFonts w:eastAsiaTheme="minorHAnsi"/>
          <w:sz w:val="28"/>
          <w:szCs w:val="28"/>
          <w:lang w:eastAsia="en-US"/>
        </w:rPr>
        <w:t>в срок не поздн</w:t>
      </w:r>
      <w:r w:rsidR="003B5E8D" w:rsidRPr="002255A5">
        <w:rPr>
          <w:rFonts w:eastAsiaTheme="minorHAnsi"/>
          <w:sz w:val="28"/>
          <w:szCs w:val="28"/>
          <w:lang w:eastAsia="en-US"/>
        </w:rPr>
        <w:t>ее 10 календарных дней со дня его</w:t>
      </w:r>
      <w:r w:rsidR="00FB6D17" w:rsidRPr="002255A5">
        <w:rPr>
          <w:rFonts w:eastAsiaTheme="minorHAnsi"/>
          <w:sz w:val="28"/>
          <w:szCs w:val="28"/>
          <w:lang w:eastAsia="en-US"/>
        </w:rPr>
        <w:t xml:space="preserve"> поступления</w:t>
      </w:r>
      <w:r w:rsidR="009813F4" w:rsidRPr="002255A5">
        <w:rPr>
          <w:rFonts w:eastAsiaTheme="minorHAnsi"/>
          <w:sz w:val="28"/>
          <w:szCs w:val="28"/>
          <w:lang w:eastAsia="en-US"/>
        </w:rPr>
        <w:t>.</w:t>
      </w:r>
    </w:p>
    <w:p w:rsidR="009813F4" w:rsidRDefault="009813F4" w:rsidP="009813F4">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C02822">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 xml:space="preserve">Управления </w:t>
      </w:r>
      <w:proofErr w:type="spellStart"/>
      <w:r w:rsidR="006A31CD">
        <w:rPr>
          <w:sz w:val="28"/>
          <w:szCs w:val="28"/>
        </w:rPr>
        <w:t>Роспотребнадзора</w:t>
      </w:r>
      <w:proofErr w:type="spellEnd"/>
      <w:r w:rsidR="006A31CD">
        <w:rPr>
          <w:sz w:val="28"/>
          <w:szCs w:val="28"/>
        </w:rPr>
        <w:t xml:space="preserve">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rsidR="00C30D4E" w:rsidRDefault="006A31CD" w:rsidP="00736C14">
      <w:pPr>
        <w:widowControl w:val="0"/>
        <w:ind w:firstLine="709"/>
        <w:jc w:val="both"/>
        <w:rPr>
          <w:sz w:val="28"/>
          <w:szCs w:val="28"/>
        </w:rPr>
      </w:pPr>
      <w:r>
        <w:rPr>
          <w:sz w:val="28"/>
          <w:szCs w:val="28"/>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sz w:val="28"/>
          <w:szCs w:val="28"/>
        </w:rPr>
        <w:t>–Е</w:t>
      </w:r>
      <w:proofErr w:type="gramEnd"/>
      <w:r>
        <w:rPr>
          <w:sz w:val="28"/>
          <w:szCs w:val="28"/>
        </w:rPr>
        <w:t>ГРЮЛ/ЕГРИП) о заявителе юридическом лице или индивидуальном предпринимателе</w:t>
      </w:r>
      <w:r w:rsidR="00C02822">
        <w:rPr>
          <w:sz w:val="28"/>
          <w:szCs w:val="28"/>
        </w:rPr>
        <w:t>;</w:t>
      </w:r>
    </w:p>
    <w:p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w:t>
        </w:r>
        <w:proofErr w:type="gramEnd"/>
        <w:r w:rsidRPr="00A96CFE">
          <w:rPr>
            <w:rFonts w:eastAsiaTheme="minorHAnsi"/>
            <w:sz w:val="28"/>
            <w:szCs w:val="28"/>
            <w:lang w:eastAsia="en-US"/>
          </w:rPr>
          <w:t xml:space="preserve">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C02822"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heme="minorHAnsi"/>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roofErr w:type="gramEnd"/>
    </w:p>
    <w:p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C02822">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C02822" w:rsidRDefault="00BC090E" w:rsidP="00C02822">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rsidR="00FE2143" w:rsidRDefault="00FE2143" w:rsidP="00FE2143">
      <w:pPr>
        <w:widowControl w:val="0"/>
        <w:ind w:firstLine="709"/>
        <w:jc w:val="both"/>
        <w:rPr>
          <w:sz w:val="28"/>
          <w:szCs w:val="28"/>
        </w:rPr>
      </w:pPr>
      <w:r>
        <w:rPr>
          <w:sz w:val="28"/>
          <w:szCs w:val="28"/>
        </w:rPr>
        <w:t xml:space="preserve">2.10. Исчерпывающий перечень оснований для отказа в предоставлении </w:t>
      </w:r>
      <w:r>
        <w:rPr>
          <w:sz w:val="28"/>
          <w:szCs w:val="28"/>
        </w:rPr>
        <w:lastRenderedPageBreak/>
        <w:t>муниципальной услуги.</w:t>
      </w:r>
    </w:p>
    <w:p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FE2143" w:rsidRDefault="00FE2143"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2.14.3. Помещения размещаются преимущественно на нижних, </w:t>
      </w:r>
      <w:r w:rsidRPr="005D1E6E">
        <w:rPr>
          <w:sz w:val="28"/>
          <w:szCs w:val="28"/>
        </w:rPr>
        <w:lastRenderedPageBreak/>
        <w:t>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lastRenderedPageBreak/>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2B1A9F">
        <w:rPr>
          <w:bCs/>
          <w:sz w:val="28"/>
          <w:szCs w:val="28"/>
        </w:rPr>
        <w:t>3.</w:t>
      </w:r>
      <w:r w:rsidRPr="005D1E6E">
        <w:rPr>
          <w:b/>
          <w:bCs/>
          <w:sz w:val="28"/>
          <w:szCs w:val="28"/>
        </w:rPr>
        <w:t xml:space="preserve"> </w:t>
      </w:r>
      <w:r w:rsidR="00FE067A"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9813F4" w:rsidRPr="002255A5"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xml:space="preserve">– </w:t>
      </w:r>
      <w:r w:rsidR="003B5E8D" w:rsidRPr="002255A5">
        <w:rPr>
          <w:sz w:val="28"/>
          <w:szCs w:val="28"/>
        </w:rPr>
        <w:t>7</w:t>
      </w:r>
      <w:r w:rsidRPr="002255A5">
        <w:rPr>
          <w:sz w:val="28"/>
          <w:szCs w:val="28"/>
        </w:rPr>
        <w:t xml:space="preserve"> </w:t>
      </w:r>
      <w:r w:rsidR="00645903" w:rsidRPr="002255A5">
        <w:rPr>
          <w:sz w:val="28"/>
          <w:szCs w:val="28"/>
        </w:rPr>
        <w:t>календарных</w:t>
      </w:r>
      <w:r w:rsidR="002677FD" w:rsidRPr="002255A5">
        <w:rPr>
          <w:sz w:val="28"/>
          <w:szCs w:val="28"/>
        </w:rPr>
        <w:t xml:space="preserve"> дней</w:t>
      </w:r>
      <w:r w:rsidR="009813F4" w:rsidRPr="002255A5">
        <w:rPr>
          <w:sz w:val="28"/>
          <w:szCs w:val="28"/>
        </w:rPr>
        <w:t>.</w:t>
      </w:r>
    </w:p>
    <w:p w:rsidR="00A82D9E" w:rsidRPr="002255A5" w:rsidRDefault="009813F4" w:rsidP="00A82D9E">
      <w:pPr>
        <w:widowControl w:val="0"/>
        <w:ind w:firstLine="709"/>
        <w:jc w:val="both"/>
        <w:rPr>
          <w:sz w:val="28"/>
          <w:szCs w:val="28"/>
        </w:rPr>
      </w:pPr>
      <w:r w:rsidRPr="002255A5">
        <w:rPr>
          <w:rFonts w:eastAsiaTheme="minorHAnsi"/>
          <w:sz w:val="28"/>
          <w:szCs w:val="28"/>
          <w:lang w:eastAsia="en-US"/>
        </w:rPr>
        <w:t>В случае направления Запроса срок рассмотрения может быть увеличен по реше</w:t>
      </w:r>
      <w:r w:rsidR="00F748CE" w:rsidRPr="002255A5">
        <w:rPr>
          <w:rFonts w:eastAsiaTheme="minorHAnsi"/>
          <w:sz w:val="28"/>
          <w:szCs w:val="28"/>
          <w:lang w:eastAsia="en-US"/>
        </w:rPr>
        <w:t xml:space="preserve">нию </w:t>
      </w:r>
      <w:r w:rsidR="003B5E8D" w:rsidRPr="002255A5">
        <w:rPr>
          <w:rFonts w:eastAsiaTheme="minorHAnsi"/>
          <w:sz w:val="28"/>
          <w:szCs w:val="28"/>
          <w:lang w:eastAsia="en-US"/>
        </w:rPr>
        <w:t>администрации до 17</w:t>
      </w:r>
      <w:r w:rsidRPr="002255A5">
        <w:rPr>
          <w:rFonts w:eastAsiaTheme="minorHAnsi"/>
          <w:sz w:val="28"/>
          <w:szCs w:val="28"/>
          <w:lang w:eastAsia="en-US"/>
        </w:rPr>
        <w:t xml:space="preserve"> календарных дней</w:t>
      </w:r>
      <w:r w:rsidR="00A82D9E" w:rsidRPr="002255A5">
        <w:rPr>
          <w:sz w:val="28"/>
          <w:szCs w:val="28"/>
        </w:rPr>
        <w:t>;</w:t>
      </w:r>
    </w:p>
    <w:p w:rsidR="00A82D9E" w:rsidRPr="002255A5" w:rsidRDefault="00A82D9E" w:rsidP="00A82D9E">
      <w:pPr>
        <w:widowControl w:val="0"/>
        <w:ind w:firstLine="709"/>
        <w:jc w:val="both"/>
        <w:rPr>
          <w:sz w:val="28"/>
          <w:szCs w:val="28"/>
        </w:rPr>
      </w:pPr>
      <w:r w:rsidRPr="002255A5">
        <w:rPr>
          <w:sz w:val="28"/>
          <w:szCs w:val="28"/>
        </w:rPr>
        <w:t xml:space="preserve">3) Издание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2255A5">
        <w:rPr>
          <w:sz w:val="28"/>
          <w:szCs w:val="28"/>
        </w:rPr>
        <w:t>–</w:t>
      </w:r>
      <w:r w:rsidRPr="002255A5">
        <w:rPr>
          <w:sz w:val="28"/>
          <w:szCs w:val="28"/>
        </w:rPr>
        <w:t xml:space="preserve"> </w:t>
      </w:r>
      <w:r w:rsidR="00CC001B" w:rsidRPr="002255A5">
        <w:rPr>
          <w:sz w:val="28"/>
          <w:szCs w:val="28"/>
        </w:rPr>
        <w:t>1</w:t>
      </w:r>
      <w:r w:rsidR="006830F0" w:rsidRPr="002255A5">
        <w:rPr>
          <w:sz w:val="28"/>
          <w:szCs w:val="28"/>
        </w:rPr>
        <w:t xml:space="preserve"> календарный</w:t>
      </w:r>
      <w:r w:rsidR="00CC001B" w:rsidRPr="002255A5">
        <w:rPr>
          <w:sz w:val="28"/>
          <w:szCs w:val="28"/>
        </w:rPr>
        <w:t xml:space="preserve"> день</w:t>
      </w:r>
      <w:r w:rsidRPr="002255A5">
        <w:rPr>
          <w:sz w:val="28"/>
          <w:szCs w:val="28"/>
        </w:rPr>
        <w:t>;</w:t>
      </w:r>
    </w:p>
    <w:p w:rsidR="00A82D9E" w:rsidRPr="00E84BEE" w:rsidRDefault="00A82D9E" w:rsidP="00A82D9E">
      <w:pPr>
        <w:widowControl w:val="0"/>
        <w:ind w:firstLine="709"/>
        <w:jc w:val="both"/>
        <w:rPr>
          <w:sz w:val="28"/>
          <w:szCs w:val="28"/>
        </w:rPr>
      </w:pPr>
      <w:r w:rsidRPr="002255A5">
        <w:rPr>
          <w:sz w:val="28"/>
          <w:szCs w:val="28"/>
        </w:rPr>
        <w:t xml:space="preserve">4) Направление </w:t>
      </w:r>
      <w:r w:rsidR="00F44931" w:rsidRPr="002255A5">
        <w:rPr>
          <w:sz w:val="28"/>
          <w:szCs w:val="28"/>
        </w:rPr>
        <w:t xml:space="preserve">заявителю </w:t>
      </w:r>
      <w:r w:rsidR="0059555F" w:rsidRPr="002255A5">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2255A5">
        <w:rPr>
          <w:sz w:val="28"/>
          <w:szCs w:val="28"/>
        </w:rPr>
        <w:t>–</w:t>
      </w:r>
      <w:r w:rsidRPr="002255A5">
        <w:rPr>
          <w:sz w:val="28"/>
          <w:szCs w:val="28"/>
        </w:rPr>
        <w:t xml:space="preserve"> </w:t>
      </w:r>
      <w:r w:rsidR="00AB1376" w:rsidRPr="002255A5">
        <w:rPr>
          <w:sz w:val="28"/>
          <w:szCs w:val="28"/>
        </w:rPr>
        <w:t>1</w:t>
      </w:r>
      <w:r w:rsidR="00DE1507" w:rsidRPr="002255A5">
        <w:rPr>
          <w:sz w:val="28"/>
          <w:szCs w:val="28"/>
        </w:rPr>
        <w:t xml:space="preserve"> </w:t>
      </w:r>
      <w:r w:rsidR="00AB1376" w:rsidRPr="002255A5">
        <w:rPr>
          <w:sz w:val="28"/>
          <w:szCs w:val="28"/>
        </w:rPr>
        <w:t>календарный</w:t>
      </w:r>
      <w:r w:rsidR="006830F0" w:rsidRPr="002255A5">
        <w:rPr>
          <w:sz w:val="28"/>
          <w:szCs w:val="28"/>
        </w:rPr>
        <w:t xml:space="preserve"> </w:t>
      </w:r>
      <w:r w:rsidR="00AB1376" w:rsidRPr="002255A5">
        <w:rPr>
          <w:sz w:val="28"/>
          <w:szCs w:val="28"/>
        </w:rPr>
        <w:t>день</w:t>
      </w:r>
      <w:r w:rsidRPr="002255A5">
        <w:rPr>
          <w:sz w:val="28"/>
          <w:szCs w:val="28"/>
        </w:rPr>
        <w:t>.</w:t>
      </w:r>
    </w:p>
    <w:p w:rsidR="007221A6" w:rsidRDefault="007221A6"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Default="00591915"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2255A5" w:rsidRDefault="00246B96" w:rsidP="00465176">
      <w:pPr>
        <w:widowControl w:val="0"/>
        <w:ind w:firstLine="709"/>
        <w:jc w:val="both"/>
        <w:rPr>
          <w:sz w:val="28"/>
          <w:szCs w:val="28"/>
        </w:rPr>
      </w:pPr>
      <w:r w:rsidRPr="00E84BEE">
        <w:rPr>
          <w:sz w:val="28"/>
          <w:szCs w:val="28"/>
        </w:rPr>
        <w:lastRenderedPageBreak/>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roofErr w:type="gramEnd"/>
    </w:p>
    <w:p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proofErr w:type="gramStart"/>
      <w:r w:rsidRPr="002255A5">
        <w:rPr>
          <w:rFonts w:eastAsiaTheme="minorHAnsi"/>
          <w:sz w:val="28"/>
          <w:szCs w:val="28"/>
          <w:lang w:eastAsia="en-US"/>
        </w:rPr>
        <w:t>с даты окончания</w:t>
      </w:r>
      <w:proofErr w:type="gramEnd"/>
      <w:r w:rsidRPr="002255A5">
        <w:rPr>
          <w:rFonts w:eastAsiaTheme="minorHAnsi"/>
          <w:sz w:val="28"/>
          <w:szCs w:val="28"/>
          <w:lang w:eastAsia="en-US"/>
        </w:rPr>
        <w:t xml:space="preserve"> первой административной процедуры</w:t>
      </w:r>
      <w:r>
        <w:rPr>
          <w:rFonts w:eastAsiaTheme="minorHAnsi"/>
          <w:sz w:val="28"/>
          <w:szCs w:val="28"/>
          <w:lang w:eastAsia="en-US"/>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591915" w:rsidRDefault="00591915" w:rsidP="007215FB">
      <w:pPr>
        <w:pStyle w:val="a3"/>
        <w:widowControl w:val="0"/>
        <w:ind w:firstLine="709"/>
        <w:jc w:val="both"/>
        <w:rPr>
          <w:szCs w:val="28"/>
        </w:rPr>
      </w:pP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1 </w:t>
      </w:r>
      <w:r w:rsidR="006830F0" w:rsidRPr="00465176">
        <w:rPr>
          <w:sz w:val="28"/>
          <w:szCs w:val="28"/>
        </w:rPr>
        <w:t xml:space="preserve">календарного </w:t>
      </w:r>
      <w:r w:rsidR="00152563" w:rsidRPr="00465176">
        <w:rPr>
          <w:sz w:val="28"/>
          <w:szCs w:val="28"/>
        </w:rPr>
        <w:t>дня</w:t>
      </w:r>
      <w:r w:rsidRPr="00465176">
        <w:rPr>
          <w:sz w:val="28"/>
          <w:szCs w:val="28"/>
        </w:rPr>
        <w:t xml:space="preserve"> </w:t>
      </w:r>
      <w:proofErr w:type="gramStart"/>
      <w:r w:rsidRPr="00465176">
        <w:rPr>
          <w:sz w:val="28"/>
          <w:szCs w:val="28"/>
        </w:rPr>
        <w:t xml:space="preserve">с даты </w:t>
      </w:r>
      <w:r w:rsidR="00551058" w:rsidRPr="00465176">
        <w:rPr>
          <w:sz w:val="28"/>
          <w:szCs w:val="28"/>
        </w:rPr>
        <w:t>подготовки</w:t>
      </w:r>
      <w:proofErr w:type="gramEnd"/>
      <w:r w:rsidR="00551058" w:rsidRPr="00465176">
        <w:rPr>
          <w:sz w:val="28"/>
          <w:szCs w:val="28"/>
        </w:rPr>
        <w:t xml:space="preserve">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w:t>
      </w:r>
      <w:r w:rsidR="00A9283D">
        <w:rPr>
          <w:sz w:val="28"/>
          <w:szCs w:val="28"/>
        </w:rPr>
        <w:lastRenderedPageBreak/>
        <w:t>накопления твёрдых коммунальных отходов</w:t>
      </w:r>
      <w:r w:rsidR="00152563" w:rsidRPr="005D1E6E">
        <w:rPr>
          <w:sz w:val="28"/>
          <w:szCs w:val="28"/>
        </w:rPr>
        <w:t>.</w:t>
      </w:r>
    </w:p>
    <w:p w:rsidR="00591915" w:rsidRDefault="00591915" w:rsidP="00551058">
      <w:pPr>
        <w:widowControl w:val="0"/>
        <w:tabs>
          <w:tab w:val="left" w:pos="142"/>
          <w:tab w:val="left" w:pos="284"/>
        </w:tabs>
        <w:autoSpaceDE w:val="0"/>
        <w:autoSpaceDN w:val="0"/>
        <w:adjustRightInd w:val="0"/>
        <w:ind w:firstLine="709"/>
        <w:jc w:val="both"/>
        <w:rPr>
          <w:sz w:val="28"/>
          <w:szCs w:val="28"/>
        </w:rPr>
      </w:pP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w:t>
      </w:r>
      <w:r w:rsidR="002B1A9F" w:rsidRPr="005D1E6E">
        <w:rPr>
          <w:sz w:val="28"/>
          <w:szCs w:val="28"/>
        </w:rPr>
        <w:t xml:space="preserve">регистрирует результат предоставления муниципальной услуги </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AB1376" w:rsidRPr="002255A5">
        <w:rPr>
          <w:sz w:val="28"/>
          <w:szCs w:val="28"/>
        </w:rPr>
        <w:t>1</w:t>
      </w:r>
      <w:r w:rsidR="003B5E8D" w:rsidRPr="002255A5">
        <w:rPr>
          <w:sz w:val="28"/>
          <w:szCs w:val="28"/>
        </w:rPr>
        <w:t xml:space="preserve"> календарного дня</w:t>
      </w:r>
      <w:r w:rsidRPr="00AC71B7">
        <w:rPr>
          <w:sz w:val="28"/>
          <w:szCs w:val="28"/>
        </w:rPr>
        <w:t xml:space="preserve"> с даты подписани</w:t>
      </w:r>
      <w:r w:rsidR="003A1CF2" w:rsidRPr="00AC71B7">
        <w:rPr>
          <w:sz w:val="28"/>
          <w:szCs w:val="28"/>
        </w:rPr>
        <w:t>я</w:t>
      </w:r>
      <w:r w:rsidRPr="00AC71B7">
        <w:rPr>
          <w:sz w:val="28"/>
          <w:szCs w:val="28"/>
        </w:rPr>
        <w:t xml:space="preserve"> </w:t>
      </w:r>
      <w:r w:rsidR="00A9283D" w:rsidRPr="00AC71B7">
        <w:rPr>
          <w:sz w:val="28"/>
          <w:szCs w:val="28"/>
        </w:rPr>
        <w:t>решения</w:t>
      </w:r>
      <w:r w:rsidR="00A9283D">
        <w:rPr>
          <w:sz w:val="28"/>
          <w:szCs w:val="28"/>
        </w:rPr>
        <w:t xml:space="preserve">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221A6" w:rsidRDefault="007221A6" w:rsidP="00736C14">
      <w:pPr>
        <w:widowControl w:val="0"/>
        <w:tabs>
          <w:tab w:val="left" w:pos="4806"/>
          <w:tab w:val="left" w:pos="5087"/>
          <w:tab w:val="center" w:pos="5315"/>
        </w:tabs>
        <w:ind w:firstLine="709"/>
        <w:jc w:val="both"/>
        <w:rPr>
          <w:sz w:val="28"/>
          <w:szCs w:val="28"/>
        </w:rPr>
      </w:pP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2B1A9F" w:rsidRDefault="002B1A9F" w:rsidP="002B1A9F">
      <w:pPr>
        <w:autoSpaceDE w:val="0"/>
        <w:autoSpaceDN w:val="0"/>
        <w:ind w:firstLine="709"/>
        <w:jc w:val="both"/>
        <w:rPr>
          <w:sz w:val="28"/>
          <w:szCs w:val="28"/>
        </w:rPr>
      </w:pPr>
      <w:r w:rsidRPr="002B1A9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B1A9F">
        <w:rPr>
          <w:sz w:val="28"/>
          <w:szCs w:val="28"/>
        </w:rPr>
        <w:t>ии и ау</w:t>
      </w:r>
      <w:proofErr w:type="gramEnd"/>
      <w:r w:rsidRPr="002B1A9F">
        <w:rPr>
          <w:sz w:val="28"/>
          <w:szCs w:val="28"/>
        </w:rPr>
        <w:t xml:space="preserve">тентификации (далее </w:t>
      </w:r>
      <w:r>
        <w:rPr>
          <w:sz w:val="28"/>
          <w:szCs w:val="28"/>
        </w:rPr>
        <w:t>–</w:t>
      </w:r>
      <w:r w:rsidRPr="002B1A9F">
        <w:rPr>
          <w:sz w:val="28"/>
          <w:szCs w:val="28"/>
        </w:rPr>
        <w:t xml:space="preserve"> ЕСИА).</w:t>
      </w:r>
    </w:p>
    <w:p w:rsidR="002B1A9F" w:rsidRPr="002B1A9F" w:rsidRDefault="002B1A9F"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2B1A9F" w:rsidRPr="002B1A9F" w:rsidRDefault="002B1A9F"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2B1A9F" w:rsidRPr="002B1A9F" w:rsidRDefault="002B1A9F" w:rsidP="002B1A9F">
      <w:pPr>
        <w:autoSpaceDE w:val="0"/>
        <w:autoSpaceDN w:val="0"/>
        <w:ind w:firstLine="709"/>
        <w:jc w:val="both"/>
        <w:rPr>
          <w:sz w:val="28"/>
          <w:szCs w:val="28"/>
        </w:rPr>
      </w:pPr>
      <w:r w:rsidRPr="002B1A9F">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2B1A9F" w:rsidRPr="002B1A9F" w:rsidRDefault="002B1A9F"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w:t>
      </w:r>
      <w:proofErr w:type="spellStart"/>
      <w:r w:rsidRPr="002B1A9F">
        <w:rPr>
          <w:sz w:val="28"/>
          <w:szCs w:val="28"/>
        </w:rPr>
        <w:t>Межвед</w:t>
      </w:r>
      <w:proofErr w:type="spellEnd"/>
      <w:r w:rsidRPr="002B1A9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2B1A9F" w:rsidRDefault="002B1A9F"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2B1A9F" w:rsidRDefault="002B1A9F"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B1A9F">
        <w:rPr>
          <w:sz w:val="28"/>
          <w:szCs w:val="28"/>
        </w:rPr>
        <w:t>Межвед</w:t>
      </w:r>
      <w:proofErr w:type="spellEnd"/>
      <w:r w:rsidRPr="002B1A9F">
        <w:rPr>
          <w:sz w:val="28"/>
          <w:szCs w:val="28"/>
        </w:rPr>
        <w:t xml:space="preserve"> ЛО» формы о принятом решении и переводит дело в архив АИС «</w:t>
      </w:r>
      <w:proofErr w:type="spellStart"/>
      <w:r w:rsidRPr="002B1A9F">
        <w:rPr>
          <w:sz w:val="28"/>
          <w:szCs w:val="28"/>
        </w:rPr>
        <w:t>Межвед</w:t>
      </w:r>
      <w:proofErr w:type="spellEnd"/>
      <w:r w:rsidRPr="002B1A9F">
        <w:rPr>
          <w:sz w:val="28"/>
          <w:szCs w:val="28"/>
        </w:rPr>
        <w:t xml:space="preserve"> ЛО»;</w:t>
      </w:r>
    </w:p>
    <w:p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w:t>
      </w:r>
      <w:proofErr w:type="gramStart"/>
      <w:r w:rsidRPr="002B1A9F">
        <w:rPr>
          <w:sz w:val="28"/>
          <w:szCs w:val="28"/>
        </w:rPr>
        <w:t>дств св</w:t>
      </w:r>
      <w:proofErr w:type="gramEnd"/>
      <w:r w:rsidRPr="002B1A9F">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w:t>
      </w:r>
      <w:r>
        <w:rPr>
          <w:rFonts w:eastAsiaTheme="minorHAnsi"/>
          <w:sz w:val="28"/>
          <w:szCs w:val="28"/>
          <w:lang w:eastAsia="en-US"/>
        </w:rPr>
        <w:lastRenderedPageBreak/>
        <w:t xml:space="preserve">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w:t>
      </w:r>
      <w:proofErr w:type="gramStart"/>
      <w:r>
        <w:rPr>
          <w:rFonts w:eastAsiaTheme="minorHAnsi"/>
          <w:sz w:val="28"/>
          <w:szCs w:val="28"/>
          <w:lang w:eastAsia="en-US"/>
        </w:rPr>
        <w:t xml:space="preserve">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Pr>
          <w:rFonts w:eastAsiaTheme="minorHAnsi"/>
          <w:sz w:val="28"/>
          <w:szCs w:val="28"/>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Pr>
          <w:rFonts w:eastAsiaTheme="minorHAnsi"/>
          <w:sz w:val="28"/>
          <w:szCs w:val="28"/>
          <w:lang w:eastAsia="en-US"/>
        </w:rPr>
        <w:t>и(</w:t>
      </w:r>
      <w:proofErr w:type="gramEnd"/>
      <w:r w:rsidR="00E51CB2">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AC71B7" w:rsidRDefault="00AC71B7"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lastRenderedPageBreak/>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Default="00036772" w:rsidP="00E51CB2">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E51CB2">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84BEE">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E51CB2">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E51CB2">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E51CB2">
      <w:pPr>
        <w:autoSpaceDN w:val="0"/>
        <w:ind w:firstLine="709"/>
        <w:jc w:val="both"/>
        <w:rPr>
          <w:sz w:val="28"/>
          <w:szCs w:val="28"/>
        </w:rPr>
      </w:pPr>
      <w:r w:rsidRPr="00E84BE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E84BEE">
        <w:rPr>
          <w:sz w:val="28"/>
          <w:szCs w:val="28"/>
        </w:rPr>
        <w:lastRenderedPageBreak/>
        <w:t>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E51CB2">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E51CB2">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E51CB2">
      <w:pPr>
        <w:autoSpaceDN w:val="0"/>
        <w:ind w:firstLine="709"/>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E51CB2">
      <w:pPr>
        <w:autoSpaceDN w:val="0"/>
        <w:ind w:firstLine="709"/>
        <w:jc w:val="both"/>
        <w:rPr>
          <w:sz w:val="28"/>
          <w:szCs w:val="28"/>
        </w:rPr>
      </w:pPr>
      <w:r w:rsidRPr="00E84BEE">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E51CB2">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E51CB2">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w:t>
      </w:r>
      <w:proofErr w:type="gramStart"/>
      <w:r w:rsidR="003977A6" w:rsidRPr="00E51CB2">
        <w:rPr>
          <w:sz w:val="28"/>
          <w:szCs w:val="28"/>
        </w:rPr>
        <w:t>жалобы</w:t>
      </w:r>
      <w:proofErr w:type="gramEnd"/>
      <w:r w:rsidR="003977A6" w:rsidRPr="00E51C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rsidR="00036772" w:rsidRPr="00E84BEE" w:rsidRDefault="003977A6" w:rsidP="00E51CB2">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4F0A0F" w:rsidRPr="00E84BEE" w:rsidRDefault="004F0A0F"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95580C">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95580C">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Pr>
          <w:rFonts w:eastAsiaTheme="minorHAnsi"/>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w:t>
      </w:r>
      <w:r>
        <w:rPr>
          <w:rFonts w:eastAsiaTheme="minorHAnsi"/>
          <w:sz w:val="28"/>
          <w:szCs w:val="28"/>
          <w:lang w:eastAsia="en-US"/>
        </w:rPr>
        <w:lastRenderedPageBreak/>
        <w:t xml:space="preserve">телефонного звонка или посредством </w:t>
      </w:r>
      <w:proofErr w:type="spellStart"/>
      <w:r>
        <w:rPr>
          <w:rFonts w:eastAsiaTheme="minorHAnsi"/>
          <w:sz w:val="28"/>
          <w:szCs w:val="28"/>
          <w:lang w:eastAsia="en-US"/>
        </w:rPr>
        <w:t>смс-информирования</w:t>
      </w:r>
      <w:proofErr w:type="spellEnd"/>
      <w:r>
        <w:rPr>
          <w:rFonts w:eastAsiaTheme="minorHAnsi"/>
          <w:sz w:val="28"/>
          <w:szCs w:val="28"/>
          <w:lang w:eastAsia="en-US"/>
        </w:rPr>
        <w:t>), а также о возможности получения документов в МФЦ.</w:t>
      </w:r>
    </w:p>
    <w:p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 xml:space="preserve">(площадки) накопления </w:t>
      </w:r>
      <w:proofErr w:type="gramStart"/>
      <w:r>
        <w:rPr>
          <w:rFonts w:eastAsiaTheme="minorHAnsi"/>
          <w:b/>
          <w:bCs/>
          <w:lang w:eastAsia="en-US"/>
        </w:rPr>
        <w:t>твердых</w:t>
      </w:r>
      <w:proofErr w:type="gramEnd"/>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w:t>
            </w:r>
            <w:r w:rsidRPr="003A3C0B">
              <w:rPr>
                <w:rFonts w:eastAsiaTheme="minorHAnsi"/>
                <w:bCs/>
                <w:sz w:val="20"/>
                <w:szCs w:val="20"/>
                <w:lang w:eastAsia="en-US"/>
              </w:rPr>
              <w:lastRenderedPageBreak/>
              <w:t>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 xml:space="preserve">Даю согласие на обработку персональных данных, содержащихся в </w:t>
      </w:r>
      <w:proofErr w:type="gramStart"/>
      <w:r w:rsidRPr="00707341">
        <w:rPr>
          <w:rFonts w:ascii="Times New Roman" w:eastAsiaTheme="minorHAnsi" w:hAnsi="Times New Roman"/>
          <w:b w:val="0"/>
          <w:bCs/>
          <w:sz w:val="20"/>
          <w:lang w:eastAsia="en-US"/>
        </w:rPr>
        <w:t>настоящей</w:t>
      </w:r>
      <w:proofErr w:type="gramEnd"/>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lastRenderedPageBreak/>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 xml:space="preserve">(площадки) накопления </w:t>
      </w:r>
      <w:proofErr w:type="gramStart"/>
      <w:r w:rsidRPr="00707341">
        <w:rPr>
          <w:rFonts w:eastAsiaTheme="minorHAnsi"/>
          <w:b/>
          <w:bCs/>
          <w:lang w:eastAsia="en-US"/>
        </w:rPr>
        <w:t>твердых</w:t>
      </w:r>
      <w:proofErr w:type="gramEnd"/>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proofErr w:type="gramStart"/>
      <w:r w:rsidRPr="00707341">
        <w:rPr>
          <w:rFonts w:ascii="Times New Roman" w:eastAsiaTheme="minorHAnsi" w:hAnsi="Times New Roman"/>
          <w:b w:val="0"/>
          <w:bCs/>
          <w:sz w:val="20"/>
          <w:lang w:eastAsia="en-US"/>
        </w:rPr>
        <w:t>согласовании</w:t>
      </w:r>
      <w:proofErr w:type="gramEnd"/>
      <w:r w:rsidRPr="00707341">
        <w:rPr>
          <w:rFonts w:ascii="Times New Roman" w:eastAsiaTheme="minorHAnsi" w:hAnsi="Times New Roman"/>
          <w:b w:val="0"/>
          <w:bCs/>
          <w:sz w:val="20"/>
          <w:lang w:eastAsia="en-US"/>
        </w:rPr>
        <w:t>/об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roofErr w:type="gramEnd"/>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04619">
      <w:headerReference w:type="even" r:id="rId21"/>
      <w:headerReference w:type="default" r:id="rId22"/>
      <w:footerReference w:type="default" r:id="rId23"/>
      <w:pgSz w:w="11906" w:h="16838"/>
      <w:pgMar w:top="567"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72F" w:rsidRDefault="0068272F">
      <w:r>
        <w:separator/>
      </w:r>
    </w:p>
  </w:endnote>
  <w:endnote w:type="continuationSeparator" w:id="0">
    <w:p w:rsidR="0068272F" w:rsidRDefault="00682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5580C" w:rsidRDefault="00AF6FAE">
        <w:pPr>
          <w:pStyle w:val="a9"/>
          <w:jc w:val="center"/>
        </w:pPr>
        <w:r>
          <w:fldChar w:fldCharType="begin"/>
        </w:r>
        <w:r w:rsidR="0095580C">
          <w:instrText>PAGE   \* MERGEFORMAT</w:instrText>
        </w:r>
        <w:r>
          <w:fldChar w:fldCharType="separate"/>
        </w:r>
        <w:r w:rsidR="00204619">
          <w:rPr>
            <w:noProof/>
          </w:rPr>
          <w:t>1</w:t>
        </w:r>
        <w:r>
          <w:rPr>
            <w:noProof/>
          </w:rPr>
          <w:fldChar w:fldCharType="end"/>
        </w:r>
      </w:p>
    </w:sdtContent>
  </w:sdt>
  <w:p w:rsidR="0095580C" w:rsidRDefault="009558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72F" w:rsidRDefault="0068272F">
      <w:r>
        <w:separator/>
      </w:r>
    </w:p>
  </w:footnote>
  <w:footnote w:type="continuationSeparator" w:id="0">
    <w:p w:rsidR="0068272F" w:rsidRDefault="00682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AF6FAE"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0C" w:rsidRDefault="0095580C"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1"/>
  </w:num>
  <w:num w:numId="4">
    <w:abstractNumId w:val="8"/>
  </w:num>
  <w:num w:numId="5">
    <w:abstractNumId w:val="9"/>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3"/>
  </w:num>
  <w:num w:numId="15">
    <w:abstractNumId w:val="30"/>
  </w:num>
  <w:num w:numId="16">
    <w:abstractNumId w:val="39"/>
  </w:num>
  <w:num w:numId="17">
    <w:abstractNumId w:val="37"/>
  </w:num>
  <w:num w:numId="18">
    <w:abstractNumId w:val="26"/>
  </w:num>
  <w:num w:numId="19">
    <w:abstractNumId w:val="19"/>
  </w:num>
  <w:num w:numId="20">
    <w:abstractNumId w:val="6"/>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5"/>
  </w:num>
  <w:num w:numId="29">
    <w:abstractNumId w:val="32"/>
  </w:num>
  <w:num w:numId="30">
    <w:abstractNumId w:val="40"/>
  </w:num>
  <w:num w:numId="31">
    <w:abstractNumId w:val="16"/>
  </w:num>
  <w:num w:numId="32">
    <w:abstractNumId w:val="29"/>
  </w:num>
  <w:num w:numId="33">
    <w:abstractNumId w:val="24"/>
  </w:num>
  <w:num w:numId="34">
    <w:abstractNumId w:val="2"/>
  </w:num>
  <w:num w:numId="35">
    <w:abstractNumId w:val="20"/>
  </w:num>
  <w:num w:numId="36">
    <w:abstractNumId w:val="25"/>
  </w:num>
  <w:num w:numId="37">
    <w:abstractNumId w:val="4"/>
  </w:num>
  <w:num w:numId="38">
    <w:abstractNumId w:val="33"/>
  </w:num>
  <w:num w:numId="39">
    <w:abstractNumId w:val="22"/>
  </w:num>
  <w:num w:numId="40">
    <w:abstractNumId w:val="1"/>
  </w:num>
  <w:num w:numId="41">
    <w:abstractNumId w:val="13"/>
  </w:num>
  <w:num w:numId="42">
    <w:abstractNumId w:val="12"/>
  </w:num>
  <w:num w:numId="43">
    <w:abstractNumId w:val="1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D18"/>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619"/>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99E"/>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39AA"/>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215"/>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6FAE"/>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5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8D2"/>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Preformat">
    <w:name w:val="Preformat"/>
    <w:rsid w:val="00BF185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B3BD-C939-4CA7-A8A6-9864A9D5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9028</Words>
  <Characters>51460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ПК</cp:lastModifiedBy>
  <cp:revision>2</cp:revision>
  <cp:lastPrinted>2019-04-11T05:55:00Z</cp:lastPrinted>
  <dcterms:created xsi:type="dcterms:W3CDTF">2022-11-07T09:41:00Z</dcterms:created>
  <dcterms:modified xsi:type="dcterms:W3CDTF">2022-11-07T09:41:00Z</dcterms:modified>
</cp:coreProperties>
</file>